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25/2006 </w:t>
      </w:r>
      <w:proofErr w:type="spellStart"/>
      <w:r w:rsidRPr="00C71A52">
        <w:rPr>
          <w:rFonts w:asciiTheme="minorHAnsi" w:hAnsiTheme="minorHAnsi" w:cs="Arial"/>
          <w:position w:val="-1"/>
          <w:sz w:val="20"/>
          <w:szCs w:val="20"/>
        </w:rPr>
        <w:t>Z.z.o</w:t>
      </w:r>
      <w:proofErr w:type="spellEnd"/>
      <w:r w:rsidRPr="00C71A52">
        <w:rPr>
          <w:rFonts w:asciiTheme="minorHAnsi" w:hAnsiTheme="minorHAnsi" w:cs="Arial"/>
          <w:position w:val="-1"/>
          <w:sz w:val="20"/>
          <w:szCs w:val="20"/>
        </w:rPr>
        <w:t xml:space="preserve"> </w:t>
      </w:r>
      <w:proofErr w:type="spellStart"/>
      <w:r w:rsidRPr="00C71A52">
        <w:rPr>
          <w:rFonts w:asciiTheme="minorHAnsi" w:hAnsiTheme="minorHAnsi" w:cs="Arial"/>
          <w:position w:val="-1"/>
          <w:sz w:val="20"/>
          <w:szCs w:val="20"/>
        </w:rPr>
        <w:t>verejnomobstarávaní</w:t>
      </w:r>
      <w:proofErr w:type="spellEnd"/>
      <w:r w:rsidRPr="00C71A52">
        <w:rPr>
          <w:rFonts w:asciiTheme="minorHAnsi" w:hAnsiTheme="minorHAnsi" w:cs="Arial"/>
          <w:position w:val="-1"/>
          <w:sz w:val="20"/>
          <w:szCs w:val="20"/>
        </w:rPr>
        <w:t xml:space="preserve">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47007D" w:rsidRPr="0047007D">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47007D" w:rsidRPr="0047007D">
        <w:rPr>
          <w:rFonts w:asciiTheme="minorHAnsi" w:hAnsiTheme="minorHAnsi" w:cs="Arial"/>
          <w:sz w:val="22"/>
          <w:szCs w:val="22"/>
        </w:rPr>
        <w:t>Radničné námestie 16 08501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47007D" w:rsidRPr="0047007D">
        <w:rPr>
          <w:rFonts w:asciiTheme="minorHAnsi" w:hAnsiTheme="minorHAnsi" w:cs="Arial"/>
          <w:sz w:val="22"/>
          <w:szCs w:val="22"/>
        </w:rPr>
        <w:t xml:space="preserve">MUDr. Boris </w:t>
      </w:r>
      <w:proofErr w:type="spellStart"/>
      <w:r w:rsidR="0047007D" w:rsidRPr="0047007D">
        <w:rPr>
          <w:rFonts w:asciiTheme="minorHAnsi" w:hAnsiTheme="minorHAnsi" w:cs="Arial"/>
          <w:sz w:val="22"/>
          <w:szCs w:val="22"/>
        </w:rPr>
        <w:t>Hanuščák</w:t>
      </w:r>
      <w:proofErr w:type="spellEnd"/>
      <w:r w:rsidR="0047007D">
        <w:rPr>
          <w:rFonts w:asciiTheme="minorHAnsi" w:hAnsiTheme="minorHAnsi" w:cs="Arial"/>
          <w:sz w:val="22"/>
          <w:szCs w:val="22"/>
        </w:rPr>
        <w:t xml:space="preserve"> - primátor</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47007D" w:rsidRPr="0047007D">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47007D" w:rsidRPr="0047007D">
        <w:rPr>
          <w:rFonts w:asciiTheme="minorHAnsi" w:hAnsiTheme="minorHAnsi" w:cs="Arial"/>
          <w:sz w:val="22"/>
          <w:szCs w:val="22"/>
        </w:rPr>
        <w:t>2020622923</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proofErr w:type="spellStart"/>
      <w:r w:rsidRPr="00212D29">
        <w:rPr>
          <w:rFonts w:asciiTheme="minorHAnsi" w:hAnsiTheme="minorHAnsi" w:cs="Arial"/>
          <w:sz w:val="22"/>
          <w:szCs w:val="22"/>
        </w:rPr>
        <w:t>Prima</w:t>
      </w:r>
      <w:proofErr w:type="spellEnd"/>
      <w:r w:rsidRPr="00212D29">
        <w:rPr>
          <w:rFonts w:asciiTheme="minorHAnsi" w:hAnsiTheme="minorHAnsi" w:cs="Arial"/>
          <w:sz w:val="22"/>
          <w:szCs w:val="22"/>
        </w:rPr>
        <w:t xml:space="preserve"> banka Slovensko, a.s.</w:t>
      </w:r>
    </w:p>
    <w:p w:rsidR="00654C77" w:rsidRPr="00F37B05" w:rsidRDefault="00654C77" w:rsidP="00654C77">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Pr="00212D29">
        <w:rPr>
          <w:rFonts w:asciiTheme="minorHAnsi" w:hAnsiTheme="minorHAnsi" w:cs="Arial"/>
          <w:sz w:val="22"/>
          <w:szCs w:val="22"/>
        </w:rPr>
        <w:t>KOMASK2X</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47007D" w:rsidRPr="0047007D">
        <w:rPr>
          <w:rFonts w:asciiTheme="minorHAnsi" w:hAnsiTheme="minorHAnsi" w:cs="Arial"/>
          <w:sz w:val="22"/>
          <w:szCs w:val="22"/>
        </w:rPr>
        <w:t>SK80 5600 0000 0004 5617 5001</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47007D" w:rsidRPr="0047007D">
        <w:rPr>
          <w:rFonts w:asciiTheme="minorHAnsi" w:hAnsiTheme="minorHAnsi" w:cs="Arial"/>
          <w:b/>
          <w:sz w:val="22"/>
          <w:szCs w:val="22"/>
        </w:rPr>
        <w:t xml:space="preserve">Realizácia </w:t>
      </w:r>
      <w:proofErr w:type="spellStart"/>
      <w:r w:rsidR="0047007D" w:rsidRPr="0047007D">
        <w:rPr>
          <w:rFonts w:asciiTheme="minorHAnsi" w:hAnsiTheme="minorHAnsi" w:cs="Arial"/>
          <w:b/>
          <w:sz w:val="22"/>
          <w:szCs w:val="22"/>
        </w:rPr>
        <w:t>vodozádržných</w:t>
      </w:r>
      <w:proofErr w:type="spellEnd"/>
      <w:r w:rsidR="0047007D" w:rsidRPr="0047007D">
        <w:rPr>
          <w:rFonts w:asciiTheme="minorHAnsi" w:hAnsiTheme="minorHAnsi" w:cs="Arial"/>
          <w:b/>
          <w:sz w:val="22"/>
          <w:szCs w:val="22"/>
        </w:rPr>
        <w:t xml:space="preserve"> opatrení na území mesta Bardejov – zelená strecha na telocvični pri športovej hale</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47007D">
        <w:rPr>
          <w:rFonts w:asciiTheme="minorHAnsi" w:hAnsiTheme="minorHAnsi" w:cs="Arial"/>
          <w:b/>
          <w:sz w:val="22"/>
          <w:szCs w:val="22"/>
        </w:rPr>
        <w:t>Realizáciu</w:t>
      </w:r>
      <w:r w:rsidR="0047007D" w:rsidRPr="0047007D">
        <w:rPr>
          <w:rFonts w:asciiTheme="minorHAnsi" w:hAnsiTheme="minorHAnsi" w:cs="Arial"/>
          <w:b/>
          <w:sz w:val="22"/>
          <w:szCs w:val="22"/>
        </w:rPr>
        <w:t xml:space="preserve"> </w:t>
      </w:r>
      <w:proofErr w:type="spellStart"/>
      <w:r w:rsidR="0047007D" w:rsidRPr="0047007D">
        <w:rPr>
          <w:rFonts w:asciiTheme="minorHAnsi" w:hAnsiTheme="minorHAnsi" w:cs="Arial"/>
          <w:b/>
          <w:sz w:val="22"/>
          <w:szCs w:val="22"/>
        </w:rPr>
        <w:t>vodozádržných</w:t>
      </w:r>
      <w:proofErr w:type="spellEnd"/>
      <w:r w:rsidR="0047007D" w:rsidRPr="0047007D">
        <w:rPr>
          <w:rFonts w:asciiTheme="minorHAnsi" w:hAnsiTheme="minorHAnsi" w:cs="Arial"/>
          <w:b/>
          <w:sz w:val="22"/>
          <w:szCs w:val="22"/>
        </w:rPr>
        <w:t xml:space="preserve"> opatrení na území mesta Bardejov – zelen</w:t>
      </w:r>
      <w:r w:rsidR="0047007D">
        <w:rPr>
          <w:rFonts w:asciiTheme="minorHAnsi" w:hAnsiTheme="minorHAnsi" w:cs="Arial"/>
          <w:b/>
          <w:sz w:val="22"/>
          <w:szCs w:val="22"/>
        </w:rPr>
        <w:t>ú</w:t>
      </w:r>
      <w:r w:rsidR="0047007D" w:rsidRPr="0047007D">
        <w:rPr>
          <w:rFonts w:asciiTheme="minorHAnsi" w:hAnsiTheme="minorHAnsi" w:cs="Arial"/>
          <w:b/>
          <w:sz w:val="22"/>
          <w:szCs w:val="22"/>
        </w:rPr>
        <w:t xml:space="preserve"> strech</w:t>
      </w:r>
      <w:r w:rsidR="0047007D">
        <w:rPr>
          <w:rFonts w:asciiTheme="minorHAnsi" w:hAnsiTheme="minorHAnsi" w:cs="Arial"/>
          <w:b/>
          <w:sz w:val="22"/>
          <w:szCs w:val="22"/>
        </w:rPr>
        <w:t>u</w:t>
      </w:r>
      <w:r w:rsidR="0047007D" w:rsidRPr="0047007D">
        <w:rPr>
          <w:rFonts w:asciiTheme="minorHAnsi" w:hAnsiTheme="minorHAnsi" w:cs="Arial"/>
          <w:b/>
          <w:sz w:val="22"/>
          <w:szCs w:val="22"/>
        </w:rPr>
        <w:t xml:space="preserve"> na telocvični pri športovej hale</w:t>
      </w:r>
      <w:r w:rsidR="00212D29" w:rsidRPr="00212D29">
        <w:rPr>
          <w:rFonts w:asciiTheme="minorHAnsi" w:hAnsiTheme="minorHAnsi" w:cs="Arial"/>
          <w:b/>
          <w:sz w:val="22"/>
          <w:szCs w:val="22"/>
        </w:rPr>
        <w:t xml:space="preserve"> </w:t>
      </w:r>
      <w:r w:rsidRPr="003745B9">
        <w:rPr>
          <w:rFonts w:asciiTheme="minorHAnsi" w:hAnsiTheme="minorHAnsi" w:cs="Arial"/>
          <w:sz w:val="22"/>
          <w:szCs w:val="22"/>
        </w:rPr>
        <w:t xml:space="preserve">podľa </w:t>
      </w:r>
      <w:r w:rsidR="0047007D">
        <w:rPr>
          <w:rFonts w:asciiTheme="minorHAnsi" w:hAnsiTheme="minorHAnsi" w:cs="Arial"/>
          <w:sz w:val="22"/>
          <w:szCs w:val="22"/>
        </w:rPr>
        <w:t xml:space="preserve">Výkazu </w:t>
      </w:r>
      <w:proofErr w:type="spellStart"/>
      <w:r w:rsidR="0047007D">
        <w:rPr>
          <w:rFonts w:asciiTheme="minorHAnsi" w:hAnsiTheme="minorHAnsi" w:cs="Arial"/>
          <w:sz w:val="22"/>
          <w:szCs w:val="22"/>
        </w:rPr>
        <w:t>vymer</w:t>
      </w:r>
      <w:proofErr w:type="spellEnd"/>
      <w:r w:rsidR="0047007D">
        <w:rPr>
          <w:rFonts w:asciiTheme="minorHAnsi" w:hAnsiTheme="minorHAnsi" w:cs="Arial"/>
          <w:sz w:val="22"/>
          <w:szCs w:val="22"/>
        </w:rPr>
        <w:t xml:space="preserve"> – Príloha č.1 tejto zmluvy a </w:t>
      </w:r>
      <w:r w:rsidRPr="003745B9">
        <w:rPr>
          <w:rFonts w:asciiTheme="minorHAnsi" w:hAnsiTheme="minorHAnsi" w:cs="Arial"/>
          <w:sz w:val="22"/>
          <w:szCs w:val="22"/>
        </w:rPr>
        <w:t xml:space="preserve">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w:t>
      </w:r>
      <w:r w:rsidR="00A0616D">
        <w:rPr>
          <w:rFonts w:asciiTheme="minorHAnsi" w:hAnsiTheme="minorHAnsi" w:cs="Arial"/>
          <w:sz w:val="22"/>
          <w:szCs w:val="22"/>
        </w:rPr>
        <w:lastRenderedPageBreak/>
        <w:t xml:space="preserve">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120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lastRenderedPageBreak/>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w:t>
      </w:r>
      <w:r w:rsidRPr="00071B82">
        <w:rPr>
          <w:rFonts w:asciiTheme="minorHAnsi" w:hAnsiTheme="minorHAnsi" w:cs="Arial"/>
          <w:b w:val="0"/>
          <w:sz w:val="22"/>
          <w:szCs w:val="22"/>
        </w:rPr>
        <w:lastRenderedPageBreak/>
        <w:t>oprávnený robiť zápisy zástupca objednávateľa – Stavebný dozor a Autorský dozor. 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w:t>
      </w:r>
      <w:r w:rsidRPr="00C71A52">
        <w:rPr>
          <w:rFonts w:asciiTheme="minorHAnsi" w:hAnsiTheme="minorHAnsi" w:cs="Arial"/>
          <w:b w:val="0"/>
          <w:sz w:val="22"/>
          <w:szCs w:val="22"/>
        </w:rPr>
        <w:lastRenderedPageBreak/>
        <w:t>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w:t>
      </w:r>
      <w:r w:rsidRPr="00C71A52">
        <w:rPr>
          <w:rFonts w:asciiTheme="minorHAnsi" w:hAnsiTheme="minorHAnsi" w:cs="Arial"/>
          <w:sz w:val="22"/>
          <w:szCs w:val="22"/>
        </w:rPr>
        <w:lastRenderedPageBreak/>
        <w:t>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w:t>
      </w:r>
      <w:r w:rsidRPr="00C71A52">
        <w:rPr>
          <w:rFonts w:asciiTheme="minorHAnsi" w:hAnsiTheme="minorHAnsi" w:cs="Arial"/>
          <w:sz w:val="22"/>
          <w:szCs w:val="22"/>
        </w:rPr>
        <w:lastRenderedPageBreak/>
        <w:t xml:space="preserve">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w:t>
      </w:r>
      <w:r w:rsidRPr="007A6DB6">
        <w:rPr>
          <w:rFonts w:asciiTheme="minorHAnsi" w:hAnsiTheme="minorHAnsi" w:cs="Arial"/>
          <w:sz w:val="22"/>
          <w:szCs w:val="22"/>
        </w:rPr>
        <w:lastRenderedPageBreak/>
        <w:t>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2E6EEE"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2E6EEE" w:rsidRPr="000F1FB8">
      <w:rPr>
        <w:rFonts w:ascii="Arial" w:hAnsi="Arial" w:cs="Arial"/>
        <w:i/>
        <w:sz w:val="16"/>
        <w:szCs w:val="16"/>
      </w:rPr>
      <w:fldChar w:fldCharType="separate"/>
    </w:r>
    <w:r w:rsidR="0047007D">
      <w:rPr>
        <w:rFonts w:ascii="Arial" w:hAnsi="Arial" w:cs="Arial"/>
        <w:i/>
        <w:sz w:val="16"/>
        <w:szCs w:val="16"/>
      </w:rPr>
      <w:t>1</w:t>
    </w:r>
    <w:r w:rsidR="002E6EEE" w:rsidRPr="000F1FB8">
      <w:rPr>
        <w:rFonts w:ascii="Arial" w:hAnsi="Arial" w:cs="Arial"/>
        <w:i/>
        <w:sz w:val="16"/>
        <w:szCs w:val="16"/>
      </w:rPr>
      <w:fldChar w:fldCharType="end"/>
    </w:r>
    <w:r w:rsidRPr="000F1FB8">
      <w:rPr>
        <w:rFonts w:ascii="Arial" w:hAnsi="Arial" w:cs="Arial"/>
        <w:i/>
        <w:sz w:val="16"/>
        <w:szCs w:val="16"/>
      </w:rPr>
      <w:t xml:space="preserve"> z </w:t>
    </w:r>
    <w:r w:rsidR="002E6EEE"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2E6EEE" w:rsidRPr="000F1FB8">
      <w:rPr>
        <w:rFonts w:ascii="Arial" w:hAnsi="Arial" w:cs="Arial"/>
        <w:i/>
        <w:sz w:val="16"/>
        <w:szCs w:val="16"/>
      </w:rPr>
      <w:fldChar w:fldCharType="separate"/>
    </w:r>
    <w:r w:rsidR="0047007D">
      <w:rPr>
        <w:rFonts w:ascii="Arial" w:hAnsi="Arial" w:cs="Arial"/>
        <w:i/>
        <w:sz w:val="16"/>
        <w:szCs w:val="16"/>
      </w:rPr>
      <w:t>11</w:t>
    </w:r>
    <w:r w:rsidR="002E6EEE"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47007D">
      <w:rPr>
        <w:b/>
        <w:sz w:val="16"/>
        <w:szCs w:val="16"/>
      </w:rPr>
      <w:t>Realizácia vodozádržných opatrení na území mesta Bardejov – zelená strecha na telocvični pri športovej hale</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6EEE"/>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60881"/>
    <w:rsid w:val="0046088C"/>
    <w:rsid w:val="00462F8F"/>
    <w:rsid w:val="00464563"/>
    <w:rsid w:val="00465950"/>
    <w:rsid w:val="00466589"/>
    <w:rsid w:val="004671D2"/>
    <w:rsid w:val="004677C4"/>
    <w:rsid w:val="0047007D"/>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4095</Words>
  <Characters>24968</Characters>
  <Application>Microsoft Office Word</Application>
  <DocSecurity>0</DocSecurity>
  <Lines>208</Lines>
  <Paragraphs>58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11</cp:revision>
  <cp:lastPrinted>2019-11-18T12:08:00Z</cp:lastPrinted>
  <dcterms:created xsi:type="dcterms:W3CDTF">2016-08-08T06:52:00Z</dcterms:created>
  <dcterms:modified xsi:type="dcterms:W3CDTF">2019-11-18T12:08:00Z</dcterms:modified>
</cp:coreProperties>
</file>